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6E9C9CC4" w:rsidR="00453B12" w:rsidRPr="00C11589" w:rsidRDefault="00453B12" w:rsidP="00453B12">
      <w:pPr>
        <w:widowControl w:val="0"/>
        <w:tabs>
          <w:tab w:val="right" w:pos="9639"/>
        </w:tabs>
        <w:spacing w:after="0"/>
        <w:rPr>
          <w:rFonts w:ascii="Arial" w:eastAsia="Times New Roman" w:hAnsi="Arial"/>
          <w:b/>
          <w:bCs/>
          <w:sz w:val="24"/>
          <w:szCs w:val="24"/>
        </w:rPr>
      </w:pPr>
      <w:r w:rsidRPr="242E594F">
        <w:rPr>
          <w:rFonts w:ascii="Arial" w:eastAsia="Times New Roman" w:hAnsi="Arial"/>
          <w:b/>
          <w:bCs/>
          <w:sz w:val="24"/>
          <w:szCs w:val="24"/>
        </w:rPr>
        <w:t>3GPP TSG-RAN WG2 Meeting #12</w:t>
      </w:r>
      <w:r w:rsidR="0065110F">
        <w:rPr>
          <w:rFonts w:ascii="Arial" w:eastAsia="Times New Roman" w:hAnsi="Arial"/>
          <w:b/>
          <w:bCs/>
          <w:sz w:val="24"/>
          <w:szCs w:val="24"/>
        </w:rPr>
        <w:t>6</w:t>
      </w:r>
      <w:r w:rsidRPr="242E594F">
        <w:rPr>
          <w:rFonts w:ascii="Arial" w:eastAsia="Times New Roman" w:hAnsi="Arial"/>
          <w:b/>
          <w:bCs/>
          <w:sz w:val="24"/>
          <w:szCs w:val="24"/>
        </w:rPr>
        <w:t xml:space="preserve">                                    </w:t>
      </w:r>
      <w:r>
        <w:tab/>
      </w:r>
      <w:r w:rsidRPr="242E594F">
        <w:rPr>
          <w:rFonts w:ascii="Arial" w:eastAsia="Times New Roman" w:hAnsi="Arial"/>
          <w:b/>
          <w:bCs/>
          <w:sz w:val="24"/>
          <w:szCs w:val="24"/>
        </w:rPr>
        <w:t>R2-2</w:t>
      </w:r>
      <w:r w:rsidR="00745D1A" w:rsidRPr="242E594F">
        <w:rPr>
          <w:rFonts w:ascii="Arial" w:eastAsia="Times New Roman" w:hAnsi="Arial"/>
          <w:b/>
          <w:bCs/>
          <w:sz w:val="24"/>
          <w:szCs w:val="24"/>
        </w:rPr>
        <w:t>40</w:t>
      </w:r>
      <w:r w:rsidR="00561AD4">
        <w:rPr>
          <w:rFonts w:ascii="Arial" w:eastAsia="Times New Roman" w:hAnsi="Arial"/>
          <w:b/>
          <w:bCs/>
          <w:sz w:val="24"/>
          <w:szCs w:val="24"/>
        </w:rPr>
        <w:t>4680</w:t>
      </w:r>
    </w:p>
    <w:p w14:paraId="3CF0036C" w14:textId="4FCAB5A0" w:rsidR="00453B12" w:rsidRDefault="0065110F" w:rsidP="00453B12">
      <w:pPr>
        <w:widowControl w:val="0"/>
        <w:tabs>
          <w:tab w:val="right" w:pos="9639"/>
        </w:tabs>
        <w:spacing w:after="0"/>
        <w:rPr>
          <w:rFonts w:ascii="Arial" w:eastAsia="Times New Roman" w:hAnsi="Arial"/>
          <w:b/>
          <w:bCs/>
          <w:i/>
          <w:sz w:val="24"/>
          <w:szCs w:val="24"/>
        </w:rPr>
      </w:pPr>
      <w:r w:rsidRPr="0065110F">
        <w:rPr>
          <w:rFonts w:ascii="Arial" w:eastAsia="Times New Roman" w:hAnsi="Arial"/>
          <w:b/>
          <w:bCs/>
          <w:sz w:val="24"/>
          <w:szCs w:val="24"/>
        </w:rPr>
        <w:t>Fukuoka, Japan, May 20th – 24th, 2024</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72F8A2AD"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w:t>
      </w:r>
      <w:r w:rsidR="00D33903">
        <w:rPr>
          <w:rFonts w:ascii="Arial" w:eastAsia="MS Mincho" w:hAnsi="Arial" w:cs="Arial"/>
          <w:b/>
          <w:bCs/>
          <w:sz w:val="24"/>
        </w:rPr>
        <w:t>5</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5EBB737"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33903">
        <w:rPr>
          <w:rFonts w:ascii="Arial" w:eastAsia="Times New Roman" w:hAnsi="Arial" w:cs="Arial"/>
          <w:b/>
          <w:bCs/>
          <w:sz w:val="24"/>
        </w:rPr>
        <w:t>Discussion on regenerative payload</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AA70F25" w14:textId="77777777" w:rsidR="00A665AC" w:rsidRDefault="00ED5B67" w:rsidP="00BC4C81">
      <w:pPr>
        <w:pStyle w:val="B1"/>
        <w:ind w:left="0" w:firstLine="0"/>
      </w:pPr>
      <w:r>
        <w:t xml:space="preserve">Following agreements were made in the </w:t>
      </w:r>
      <w:r w:rsidR="00A665AC">
        <w:t>RAN2#125bis meeting.</w:t>
      </w:r>
    </w:p>
    <w:p w14:paraId="4D7641E8" w14:textId="378B5651" w:rsidR="00A665AC" w:rsidRPr="00DC0A10" w:rsidRDefault="00A665AC" w:rsidP="00DC0A10">
      <w:pPr>
        <w:pStyle w:val="ListParagraph"/>
        <w:numPr>
          <w:ilvl w:val="0"/>
          <w:numId w:val="30"/>
        </w:numPr>
        <w:spacing w:before="40" w:after="0"/>
        <w:rPr>
          <w:rFonts w:ascii="Arial" w:eastAsia="MS Mincho" w:hAnsi="Arial"/>
          <w:i/>
          <w:noProof/>
          <w:sz w:val="18"/>
          <w:szCs w:val="24"/>
          <w:lang w:eastAsia="en-GB"/>
        </w:rPr>
      </w:pPr>
      <w:r w:rsidRPr="00DC0A10">
        <w:rPr>
          <w:rFonts w:ascii="Arial" w:eastAsia="MS Mincho" w:hAnsi="Arial"/>
          <w:i/>
          <w:noProof/>
          <w:sz w:val="18"/>
          <w:szCs w:val="24"/>
          <w:lang w:eastAsia="en-GB"/>
        </w:rPr>
        <w:t>Wait for RAN3 inputs to update section 16.14.4 and 16.14.6 related to switchover and NG interface</w:t>
      </w:r>
    </w:p>
    <w:p w14:paraId="30029B84" w14:textId="557A2454" w:rsidR="00DC0A10" w:rsidRPr="00DC0A10" w:rsidRDefault="00DC0A10" w:rsidP="00DC0A10">
      <w:pPr>
        <w:pStyle w:val="ListParagraph"/>
        <w:numPr>
          <w:ilvl w:val="0"/>
          <w:numId w:val="30"/>
        </w:numPr>
        <w:spacing w:before="40" w:after="0"/>
        <w:rPr>
          <w:rFonts w:ascii="Arial" w:eastAsia="MS Mincho" w:hAnsi="Arial"/>
          <w:i/>
          <w:noProof/>
          <w:sz w:val="18"/>
          <w:szCs w:val="24"/>
          <w:lang w:eastAsia="en-GB"/>
        </w:rPr>
      </w:pPr>
      <w:r w:rsidRPr="00DC0A10">
        <w:rPr>
          <w:rFonts w:ascii="Arial" w:eastAsia="MS Mincho" w:hAnsi="Arial"/>
          <w:i/>
          <w:noProof/>
          <w:sz w:val="18"/>
          <w:szCs w:val="24"/>
          <w:lang w:eastAsia="en-GB"/>
        </w:rPr>
        <w:t>Come back in future meetings to check if we can consider the text proposal for TS 38.300 in R2-2403606 as a possible baseline for RAN2 discussion to support the gNB on-board regenerative payload architecture.</w:t>
      </w:r>
    </w:p>
    <w:p w14:paraId="63F3066F" w14:textId="0231A721" w:rsidR="00A665AC" w:rsidRPr="00DC0A10" w:rsidRDefault="00DC0A10" w:rsidP="00DC0A10">
      <w:pPr>
        <w:pStyle w:val="ListParagraph"/>
        <w:numPr>
          <w:ilvl w:val="0"/>
          <w:numId w:val="30"/>
        </w:numPr>
        <w:spacing w:before="40" w:after="0"/>
        <w:rPr>
          <w:rFonts w:ascii="Arial" w:eastAsia="MS Mincho" w:hAnsi="Arial"/>
          <w:i/>
          <w:noProof/>
          <w:sz w:val="18"/>
          <w:szCs w:val="24"/>
          <w:lang w:eastAsia="en-GB"/>
        </w:rPr>
      </w:pPr>
      <w:r w:rsidRPr="00DC0A10">
        <w:rPr>
          <w:rFonts w:ascii="Arial" w:eastAsia="MS Mincho" w:hAnsi="Arial"/>
          <w:i/>
          <w:noProof/>
          <w:sz w:val="18"/>
          <w:szCs w:val="24"/>
          <w:lang w:eastAsia="en-GB"/>
        </w:rPr>
        <w:t>continue the discussion on</w:t>
      </w:r>
      <w:r w:rsidR="00660942">
        <w:rPr>
          <w:rFonts w:ascii="Arial" w:eastAsia="MS Mincho" w:hAnsi="Arial"/>
          <w:i/>
          <w:noProof/>
          <w:sz w:val="18"/>
          <w:szCs w:val="24"/>
          <w:lang w:eastAsia="en-GB"/>
        </w:rPr>
        <w:t xml:space="preserve"> the support of</w:t>
      </w:r>
      <w:r w:rsidRPr="00DC0A10">
        <w:rPr>
          <w:rFonts w:ascii="Arial" w:eastAsia="MS Mincho" w:hAnsi="Arial"/>
          <w:i/>
          <w:noProof/>
          <w:sz w:val="18"/>
          <w:szCs w:val="24"/>
          <w:lang w:eastAsia="en-GB"/>
        </w:rPr>
        <w:t xml:space="preserve"> satellite switch with resync </w:t>
      </w:r>
      <w:r w:rsidR="00660942">
        <w:rPr>
          <w:rFonts w:ascii="Arial" w:eastAsia="MS Mincho" w:hAnsi="Arial"/>
          <w:i/>
          <w:noProof/>
          <w:sz w:val="18"/>
          <w:szCs w:val="24"/>
          <w:lang w:eastAsia="en-GB"/>
        </w:rPr>
        <w:t>in</w:t>
      </w:r>
      <w:r w:rsidRPr="00DC0A10">
        <w:rPr>
          <w:rFonts w:ascii="Arial" w:eastAsia="MS Mincho" w:hAnsi="Arial"/>
          <w:i/>
          <w:noProof/>
          <w:sz w:val="18"/>
          <w:szCs w:val="24"/>
          <w:lang w:eastAsia="en-GB"/>
        </w:rPr>
        <w:t xml:space="preserve"> regenerative payload architecture in the next meeting.</w:t>
      </w:r>
    </w:p>
    <w:p w14:paraId="099A536B" w14:textId="77777777" w:rsidR="00660942" w:rsidRDefault="00660942" w:rsidP="00BC4C81">
      <w:pPr>
        <w:pStyle w:val="B1"/>
        <w:ind w:left="0" w:firstLine="0"/>
      </w:pPr>
    </w:p>
    <w:p w14:paraId="52317F18" w14:textId="37312EB9" w:rsidR="007064FB" w:rsidRDefault="00661AB9" w:rsidP="00BC4C81">
      <w:pPr>
        <w:pStyle w:val="B1"/>
        <w:ind w:left="0" w:firstLine="0"/>
      </w:pPr>
      <w:r>
        <w:t xml:space="preserve">In this document, we </w:t>
      </w:r>
      <w:r w:rsidR="00660942">
        <w:t>provide details on the</w:t>
      </w:r>
      <w:r w:rsidR="00B71A25">
        <w:t xml:space="preserve"> features</w:t>
      </w:r>
      <w:r w:rsidR="00EE6853">
        <w:t xml:space="preserve"> that may need discussion</w:t>
      </w:r>
      <w:r w:rsidR="00106C94">
        <w:t xml:space="preserve"> </w:t>
      </w:r>
      <w:r w:rsidR="00EE6853">
        <w:t>to make them work in</w:t>
      </w:r>
      <w:r w:rsidR="00106C94">
        <w:t xml:space="preserve"> the regenerative payload operation</w:t>
      </w:r>
      <w:r w:rsidR="00BD1CDB">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76489F60" w14:textId="19076EB1" w:rsidR="00D81ABD" w:rsidRPr="00061943" w:rsidRDefault="00D81ABD" w:rsidP="00453B12">
      <w:pPr>
        <w:rPr>
          <w:b/>
          <w:bCs/>
          <w:u w:val="single"/>
        </w:rPr>
      </w:pPr>
      <w:r w:rsidRPr="00061943">
        <w:rPr>
          <w:b/>
          <w:bCs/>
          <w:u w:val="single"/>
        </w:rPr>
        <w:t xml:space="preserve">Support of satellite switch with </w:t>
      </w:r>
      <w:proofErr w:type="gramStart"/>
      <w:r w:rsidRPr="00061943">
        <w:rPr>
          <w:b/>
          <w:bCs/>
          <w:u w:val="single"/>
        </w:rPr>
        <w:t>resync</w:t>
      </w:r>
      <w:proofErr w:type="gramEnd"/>
    </w:p>
    <w:p w14:paraId="6A2B00CA" w14:textId="6CBE358D" w:rsidR="00BB5F33" w:rsidRDefault="00BE6AE8" w:rsidP="00453B12">
      <w:r w:rsidRPr="00BE6AE8">
        <w:t>For transparent load and fixed cell scenario, this Rel-18 feature allows UE to switch satellite without L3 handover.</w:t>
      </w:r>
      <w:r w:rsidR="00377A57">
        <w:t xml:space="preserve"> In this case, the cell</w:t>
      </w:r>
      <w:r w:rsidR="002B0BD1">
        <w:t xml:space="preserve"> SSB, SIBs and UE’s RRC configuration remain same after switching the satellite.</w:t>
      </w:r>
      <w:r w:rsidR="00987FAB">
        <w:t xml:space="preserve"> This feature is important in fixed cell scenario to avoid the L3 handover and </w:t>
      </w:r>
      <w:proofErr w:type="spellStart"/>
      <w:r w:rsidR="00987FAB">
        <w:t>signaling</w:t>
      </w:r>
      <w:proofErr w:type="spellEnd"/>
      <w:r w:rsidR="00987FAB">
        <w:t xml:space="preserve"> overhead.</w:t>
      </w:r>
    </w:p>
    <w:p w14:paraId="71EAFA67" w14:textId="77777777" w:rsidR="008D4186" w:rsidRDefault="00B53F40" w:rsidP="008D4186">
      <w:pPr>
        <w:keepNext/>
        <w:jc w:val="center"/>
      </w:pPr>
      <w:r w:rsidRPr="00B53F40">
        <w:rPr>
          <w:noProof/>
        </w:rPr>
        <w:drawing>
          <wp:inline distT="0" distB="0" distL="0" distR="0" wp14:anchorId="736602FC" wp14:editId="3F8C345E">
            <wp:extent cx="2225247" cy="1977436"/>
            <wp:effectExtent l="0" t="0" r="3810" b="3810"/>
            <wp:docPr id="386506936"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506936" name="Picture 1" descr="A diagram of a satellite&#10;&#10;Description automatically generated"/>
                    <pic:cNvPicPr/>
                  </pic:nvPicPr>
                  <pic:blipFill>
                    <a:blip r:embed="rId11"/>
                    <a:stretch>
                      <a:fillRect/>
                    </a:stretch>
                  </pic:blipFill>
                  <pic:spPr>
                    <a:xfrm>
                      <a:off x="0" y="0"/>
                      <a:ext cx="2238214" cy="1988959"/>
                    </a:xfrm>
                    <a:prstGeom prst="rect">
                      <a:avLst/>
                    </a:prstGeom>
                  </pic:spPr>
                </pic:pic>
              </a:graphicData>
            </a:graphic>
          </wp:inline>
        </w:drawing>
      </w:r>
    </w:p>
    <w:p w14:paraId="6036EA4C" w14:textId="47513F3C" w:rsidR="00446D4D" w:rsidRDefault="008D4186" w:rsidP="008D418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4C4F2D">
        <w:t xml:space="preserve"> </w:t>
      </w:r>
      <w:r w:rsidR="002D2D59">
        <w:t>M</w:t>
      </w:r>
      <w:r w:rsidR="0025036F">
        <w:t>i</w:t>
      </w:r>
      <w:r w:rsidR="002D2D59">
        <w:t>rr</w:t>
      </w:r>
      <w:r w:rsidR="0025036F">
        <w:t>oring of the</w:t>
      </w:r>
      <w:r w:rsidR="00A614EC">
        <w:t xml:space="preserve"> </w:t>
      </w:r>
      <w:proofErr w:type="gramStart"/>
      <w:r w:rsidR="00A614EC">
        <w:t>satellites</w:t>
      </w:r>
      <w:proofErr w:type="gramEnd"/>
    </w:p>
    <w:p w14:paraId="364FDF74" w14:textId="5F6FA562" w:rsidR="004D210E" w:rsidRDefault="002B0BD1" w:rsidP="00453B12">
      <w:r>
        <w:t xml:space="preserve">For </w:t>
      </w:r>
      <w:r w:rsidR="00B0043A">
        <w:t xml:space="preserve">regenerative payload case, when </w:t>
      </w:r>
      <w:proofErr w:type="spellStart"/>
      <w:r w:rsidR="00B0043A">
        <w:t>gNB</w:t>
      </w:r>
      <w:proofErr w:type="spellEnd"/>
      <w:r w:rsidR="002843A9">
        <w:t xml:space="preserve"> is on board, satellite switch results in </w:t>
      </w:r>
      <w:proofErr w:type="spellStart"/>
      <w:r w:rsidR="002843A9">
        <w:t>gNB</w:t>
      </w:r>
      <w:proofErr w:type="spellEnd"/>
      <w:r w:rsidR="002843A9">
        <w:t xml:space="preserve"> switch. </w:t>
      </w:r>
      <w:r w:rsidR="005E6C46">
        <w:t>Then question is whether the satellite switch with resynch feature can be applicable to</w:t>
      </w:r>
      <w:r w:rsidR="002D70DA">
        <w:t xml:space="preserve"> regenerative payload architecture. As shown in figure</w:t>
      </w:r>
      <w:r w:rsidR="008D4186">
        <w:t xml:space="preserve"> 2</w:t>
      </w:r>
      <w:r w:rsidR="002D70DA">
        <w:t xml:space="preserve">, it could be possible by network implementation given </w:t>
      </w:r>
      <w:r w:rsidR="00321BD0">
        <w:t>ideal ISL backhaul</w:t>
      </w:r>
      <w:r w:rsidR="004D210E">
        <w:t xml:space="preserve">. In this case, the old satellite will transfer all data (including </w:t>
      </w:r>
      <w:proofErr w:type="spellStart"/>
      <w:r w:rsidR="004D210E">
        <w:t>gNB</w:t>
      </w:r>
      <w:proofErr w:type="spellEnd"/>
      <w:r w:rsidR="004D210E">
        <w:t xml:space="preserve"> context, all UE’s context etc.) to the new satellite serving the same area</w:t>
      </w:r>
      <w:r w:rsidR="00A94765">
        <w:t xml:space="preserve">, i.e., new satellite is </w:t>
      </w:r>
      <w:r w:rsidR="008667F0">
        <w:t xml:space="preserve">the </w:t>
      </w:r>
      <w:r w:rsidR="00A94765">
        <w:t>mirror of the old satellite</w:t>
      </w:r>
      <w:r w:rsidR="004D210E">
        <w:t>.</w:t>
      </w:r>
      <w:r w:rsidR="0023042F">
        <w:t xml:space="preserve"> This may take some </w:t>
      </w:r>
      <w:r w:rsidR="00084BC7">
        <w:t>data transfer</w:t>
      </w:r>
      <w:r w:rsidR="0023042F">
        <w:t xml:space="preserve"> time same as in HARD satellite switch with resync.</w:t>
      </w:r>
      <w:r w:rsidR="005D4FF7">
        <w:t xml:space="preserve"> </w:t>
      </w:r>
      <w:r w:rsidR="0013560F">
        <w:t>N</w:t>
      </w:r>
      <w:r w:rsidR="005D4FF7">
        <w:t xml:space="preserve">o impact to </w:t>
      </w:r>
      <w:r w:rsidR="0013560F">
        <w:t>RAN or core network is foreseen due to this.</w:t>
      </w:r>
    </w:p>
    <w:p w14:paraId="198E64D5" w14:textId="32FCEE03" w:rsidR="00AA27BF" w:rsidRDefault="00F41807" w:rsidP="00876530">
      <w:pPr>
        <w:pStyle w:val="Observation"/>
        <w:ind w:left="1440" w:hanging="1440"/>
      </w:pPr>
      <w:bookmarkStart w:id="0" w:name="_Toc162700516"/>
      <w:bookmarkStart w:id="1" w:name="_Toc162713402"/>
      <w:bookmarkStart w:id="2" w:name="_Toc162714171"/>
      <w:bookmarkStart w:id="3" w:name="_Toc162714217"/>
      <w:bookmarkStart w:id="4" w:name="_Toc163143308"/>
      <w:bookmarkStart w:id="5" w:name="_Toc166059878"/>
      <w:bookmarkStart w:id="6" w:name="_Toc166163793"/>
      <w:bookmarkStart w:id="7" w:name="_Toc166164052"/>
      <w:bookmarkStart w:id="8" w:name="_Toc166164156"/>
      <w:bookmarkStart w:id="9" w:name="_Toc166171724"/>
      <w:bookmarkStart w:id="10" w:name="_Toc166171833"/>
      <w:bookmarkStart w:id="11" w:name="_Toc166171837"/>
      <w:r>
        <w:t xml:space="preserve">The </w:t>
      </w:r>
      <w:r w:rsidR="00AA27BF">
        <w:t xml:space="preserve">satellite switch with resync feature </w:t>
      </w:r>
      <w:r>
        <w:t>may be supported in regenerative payload architecture</w:t>
      </w:r>
      <w:r w:rsidR="00E32B5F">
        <w:t xml:space="preserve"> by network implementation</w:t>
      </w:r>
      <w:r w:rsidR="00690258">
        <w:t xml:space="preserve"> of mirror satellite</w:t>
      </w:r>
      <w:r w:rsidR="007A3A6B">
        <w:t xml:space="preserve"> at t-Service</w:t>
      </w:r>
      <w:r w:rsidR="00876530">
        <w:t>.</w:t>
      </w:r>
      <w:bookmarkEnd w:id="0"/>
      <w:bookmarkEnd w:id="1"/>
      <w:bookmarkEnd w:id="2"/>
      <w:bookmarkEnd w:id="3"/>
      <w:bookmarkEnd w:id="4"/>
      <w:bookmarkEnd w:id="5"/>
      <w:bookmarkEnd w:id="6"/>
      <w:bookmarkEnd w:id="7"/>
      <w:bookmarkEnd w:id="8"/>
      <w:bookmarkEnd w:id="9"/>
      <w:bookmarkEnd w:id="10"/>
      <w:bookmarkEnd w:id="11"/>
    </w:p>
    <w:p w14:paraId="50B4F6B7" w14:textId="2C1BE972" w:rsidR="008B4701" w:rsidRDefault="002F5D4F" w:rsidP="008B4701">
      <w:r>
        <w:lastRenderedPageBreak/>
        <w:t>The</w:t>
      </w:r>
      <w:r w:rsidR="008B4701">
        <w:t xml:space="preserve"> soft switch may not </w:t>
      </w:r>
      <w:r w:rsidR="00084BC7">
        <w:t xml:space="preserve">be </w:t>
      </w:r>
      <w:r w:rsidR="008B4701">
        <w:t>possible due to switch time where the t-</w:t>
      </w:r>
      <w:proofErr w:type="spellStart"/>
      <w:r w:rsidR="008B4701">
        <w:t>ServiceStart</w:t>
      </w:r>
      <w:proofErr w:type="spellEnd"/>
      <w:r w:rsidR="008B4701">
        <w:t xml:space="preserve"> </w:t>
      </w:r>
      <w:r w:rsidR="00084BC7">
        <w:t>cannot occur before</w:t>
      </w:r>
      <w:r w:rsidR="008B4701">
        <w:t xml:space="preserve"> the t-Service.</w:t>
      </w:r>
      <w:r>
        <w:t xml:space="preserve"> However, hard</w:t>
      </w:r>
      <w:r w:rsidR="00951F76">
        <w:t xml:space="preserve"> satellite switch can be possible</w:t>
      </w:r>
      <w:r w:rsidR="00D56A93">
        <w:t xml:space="preserve"> with very minor specification change. The only change needed is to clarify that the </w:t>
      </w:r>
      <w:r w:rsidR="00F472BE">
        <w:t>t-</w:t>
      </w:r>
      <w:proofErr w:type="spellStart"/>
      <w:r w:rsidR="00F472BE">
        <w:t>ServiceStart</w:t>
      </w:r>
      <w:proofErr w:type="spellEnd"/>
      <w:r w:rsidR="00F472BE">
        <w:t xml:space="preserve"> occurs after t-Service, i.e., position gap (t-Service – t-</w:t>
      </w:r>
      <w:proofErr w:type="spellStart"/>
      <w:r w:rsidR="00F472BE">
        <w:t>ServiceStart</w:t>
      </w:r>
      <w:proofErr w:type="spellEnd"/>
      <w:r w:rsidR="004F1EC7">
        <w:t>) is possible for the regenerative architecture. W</w:t>
      </w:r>
      <w:r w:rsidR="002A2341">
        <w:t xml:space="preserve">hether RRM requirement needs to be defined during the positive switch gap can be </w:t>
      </w:r>
      <w:r w:rsidR="00030D14">
        <w:t>checked with RAN4</w:t>
      </w:r>
      <w:r w:rsidR="002A2341">
        <w:t>.</w:t>
      </w:r>
    </w:p>
    <w:p w14:paraId="258A964E" w14:textId="1D5154A6" w:rsidR="008B4701" w:rsidRPr="008B4701" w:rsidRDefault="0030602C" w:rsidP="0030602C">
      <w:pPr>
        <w:pStyle w:val="Proposal"/>
        <w:numPr>
          <w:ilvl w:val="0"/>
          <w:numId w:val="7"/>
        </w:numPr>
        <w:overflowPunct w:val="0"/>
        <w:autoSpaceDE w:val="0"/>
        <w:autoSpaceDN w:val="0"/>
        <w:adjustRightInd w:val="0"/>
        <w:spacing w:before="240" w:after="240" w:line="360" w:lineRule="auto"/>
        <w:contextualSpacing/>
        <w:textAlignment w:val="baseline"/>
      </w:pPr>
      <w:bookmarkStart w:id="12" w:name="_Toc166059879"/>
      <w:bookmarkStart w:id="13" w:name="_Toc166163794"/>
      <w:bookmarkStart w:id="14" w:name="_Toc166164053"/>
      <w:bookmarkStart w:id="15" w:name="_Toc166164157"/>
      <w:bookmarkStart w:id="16" w:name="_Toc166171725"/>
      <w:bookmarkStart w:id="17" w:name="_Toc166171834"/>
      <w:bookmarkStart w:id="18" w:name="_Toc166171838"/>
      <w:r w:rsidRPr="0030602C">
        <w:t>From RAN2 perspective, whether to indicate the support of satellite switch with resy</w:t>
      </w:r>
      <w:r>
        <w:t>nc</w:t>
      </w:r>
      <w:r w:rsidRPr="0030602C">
        <w:t xml:space="preserve"> for regenerative payload is left to network implementation. The</w:t>
      </w:r>
      <w:r w:rsidR="0004348B">
        <w:t xml:space="preserve"> only</w:t>
      </w:r>
      <w:r w:rsidRPr="0030602C">
        <w:t xml:space="preserve"> RAN2 specification impact is to clarify the +</w:t>
      </w:r>
      <w:proofErr w:type="spellStart"/>
      <w:r w:rsidRPr="0030602C">
        <w:t>ve</w:t>
      </w:r>
      <w:proofErr w:type="spellEnd"/>
      <w:r w:rsidRPr="0030602C">
        <w:t xml:space="preserve"> gap of satellite switch i.e., t-</w:t>
      </w:r>
      <w:proofErr w:type="spellStart"/>
      <w:r w:rsidRPr="0030602C">
        <w:t>ServiceStart</w:t>
      </w:r>
      <w:proofErr w:type="spellEnd"/>
      <w:r w:rsidRPr="0030602C">
        <w:t xml:space="preserve"> can occur after t-Service.</w:t>
      </w:r>
      <w:bookmarkEnd w:id="12"/>
      <w:bookmarkEnd w:id="13"/>
      <w:bookmarkEnd w:id="14"/>
      <w:bookmarkEnd w:id="15"/>
      <w:bookmarkEnd w:id="16"/>
      <w:bookmarkEnd w:id="17"/>
      <w:bookmarkEnd w:id="18"/>
    </w:p>
    <w:p w14:paraId="0F5DF5CD" w14:textId="025E0E56" w:rsidR="00FA2DF2" w:rsidRPr="004D7FA1" w:rsidRDefault="00FA2DF2" w:rsidP="00FA2DF2">
      <w:pPr>
        <w:rPr>
          <w:b/>
          <w:bCs/>
          <w:u w:val="single"/>
        </w:rPr>
      </w:pPr>
      <w:r w:rsidRPr="004D7FA1">
        <w:rPr>
          <w:b/>
          <w:bCs/>
          <w:u w:val="single"/>
        </w:rPr>
        <w:t>Power consumption in RA-SDT</w:t>
      </w:r>
    </w:p>
    <w:p w14:paraId="22AB6442" w14:textId="77777777" w:rsidR="00FA2DF2" w:rsidRDefault="00FA2DF2" w:rsidP="00FA2DF2">
      <w:r>
        <w:t xml:space="preserve">RRC_INACTIVE state and SDT are supported in NTN. In RA SDT, a small data is transmitted in </w:t>
      </w:r>
      <w:proofErr w:type="gramStart"/>
      <w:r>
        <w:t>Msg3</w:t>
      </w:r>
      <w:proofErr w:type="gramEnd"/>
      <w:r>
        <w:t xml:space="preserve"> and network may want to send the UE back to RRC_INACTIVE via Msg4. However, before UE can be sent back to RRC_INACTIVE, the </w:t>
      </w:r>
      <w:proofErr w:type="spellStart"/>
      <w:r>
        <w:t>gNB</w:t>
      </w:r>
      <w:proofErr w:type="spellEnd"/>
      <w:r>
        <w:t xml:space="preserve"> on-board satellite needs to get DL response or any pending DL data from the AMF on the ground. This leads to feeder link RTT delay for </w:t>
      </w:r>
      <w:proofErr w:type="spellStart"/>
      <w:r>
        <w:t>gNB</w:t>
      </w:r>
      <w:proofErr w:type="spellEnd"/>
      <w:r>
        <w:t xml:space="preserve"> to provide the DL response data to UE.</w:t>
      </w:r>
    </w:p>
    <w:p w14:paraId="243206F4" w14:textId="77777777" w:rsidR="00FA2DF2" w:rsidRDefault="00FA2DF2" w:rsidP="00FA2DF2">
      <w:pPr>
        <w:keepNext/>
        <w:jc w:val="center"/>
      </w:pPr>
      <w:r w:rsidRPr="004D7FA1">
        <w:rPr>
          <w:noProof/>
        </w:rPr>
        <w:drawing>
          <wp:inline distT="0" distB="0" distL="0" distR="0" wp14:anchorId="4BE5F4D2" wp14:editId="4FEE0A0F">
            <wp:extent cx="4913981" cy="1601824"/>
            <wp:effectExtent l="0" t="0" r="1270" b="0"/>
            <wp:docPr id="7" name="Picture 6">
              <a:extLst xmlns:a="http://schemas.openxmlformats.org/drawingml/2006/main">
                <a:ext uri="{FF2B5EF4-FFF2-40B4-BE49-F238E27FC236}">
                  <a16:creationId xmlns:a16="http://schemas.microsoft.com/office/drawing/2014/main" id="{468EFFDF-6712-60EE-9ECE-7AD8C60DC2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68EFFDF-6712-60EE-9ECE-7AD8C60DC2DE}"/>
                        </a:ext>
                      </a:extLst>
                    </pic:cNvPr>
                    <pic:cNvPicPr>
                      <a:picLocks noChangeAspect="1"/>
                    </pic:cNvPicPr>
                  </pic:nvPicPr>
                  <pic:blipFill>
                    <a:blip r:embed="rId12"/>
                    <a:stretch>
                      <a:fillRect/>
                    </a:stretch>
                  </pic:blipFill>
                  <pic:spPr>
                    <a:xfrm>
                      <a:off x="0" y="0"/>
                      <a:ext cx="4928209" cy="1606462"/>
                    </a:xfrm>
                    <a:prstGeom prst="rect">
                      <a:avLst/>
                    </a:prstGeom>
                  </pic:spPr>
                </pic:pic>
              </a:graphicData>
            </a:graphic>
          </wp:inline>
        </w:drawing>
      </w:r>
    </w:p>
    <w:p w14:paraId="2E41835A" w14:textId="77777777" w:rsidR="00FA2DF2" w:rsidRDefault="00FA2DF2" w:rsidP="00FA2DF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RA-SDT procedure in regenerative payload </w:t>
      </w:r>
      <w:proofErr w:type="gramStart"/>
      <w:r>
        <w:t>architecture</w:t>
      </w:r>
      <w:proofErr w:type="gramEnd"/>
    </w:p>
    <w:p w14:paraId="2258DCD4" w14:textId="77777777" w:rsidR="00FA2DF2" w:rsidRDefault="00FA2DF2" w:rsidP="00FA2DF2">
      <w:r>
        <w:t xml:space="preserve">As shown in figure 1, the </w:t>
      </w:r>
      <w:proofErr w:type="spellStart"/>
      <w:r>
        <w:t>gNB</w:t>
      </w:r>
      <w:proofErr w:type="spellEnd"/>
      <w:r>
        <w:t xml:space="preserve"> on-board may want to immediately send the contention resolution MAC CE while waiting for the response from the ground network. The purpose of doing this is to avoid the possibility of expiry of contention resolution timer. In this case, it certainly is not power efficient for UE to continuously monitor PDCCH unnecessarily after sending the HARQ feedback of the contention resolution MAC CE. </w:t>
      </w:r>
      <w:proofErr w:type="gramStart"/>
      <w:r>
        <w:t>Similar to</w:t>
      </w:r>
      <w:proofErr w:type="gramEnd"/>
      <w:r>
        <w:t xml:space="preserve"> delay to start contention resolution timer, the PDCCH for monitoring further RRC message can be delayed after sending HARQ feedback of the contention resolution MAC CE.</w:t>
      </w:r>
    </w:p>
    <w:p w14:paraId="207079FB" w14:textId="5493C91F" w:rsidR="009D365B" w:rsidRPr="009D365B" w:rsidRDefault="009D365B" w:rsidP="009D365B">
      <w:pPr>
        <w:pStyle w:val="Proposal"/>
        <w:numPr>
          <w:ilvl w:val="0"/>
          <w:numId w:val="7"/>
        </w:numPr>
        <w:overflowPunct w:val="0"/>
        <w:autoSpaceDE w:val="0"/>
        <w:autoSpaceDN w:val="0"/>
        <w:adjustRightInd w:val="0"/>
        <w:spacing w:before="240" w:after="240" w:line="360" w:lineRule="auto"/>
        <w:contextualSpacing/>
        <w:textAlignment w:val="baseline"/>
      </w:pPr>
      <w:bookmarkStart w:id="19" w:name="_Toc166059880"/>
      <w:bookmarkStart w:id="20" w:name="_Toc166163795"/>
      <w:bookmarkStart w:id="21" w:name="_Toc166164054"/>
      <w:bookmarkStart w:id="22" w:name="_Toc166164158"/>
      <w:bookmarkStart w:id="23" w:name="_Toc166171726"/>
      <w:bookmarkStart w:id="24" w:name="_Toc166171835"/>
      <w:bookmarkStart w:id="25" w:name="_Toc166171839"/>
      <w:r w:rsidRPr="009D365B">
        <w:t>For UE power saving when using RA SDT in regenerative payload, the PDCCH monitoring for further RRC message is delayed by UE-</w:t>
      </w:r>
      <w:proofErr w:type="spellStart"/>
      <w:r w:rsidRPr="009D365B">
        <w:t>gNB</w:t>
      </w:r>
      <w:proofErr w:type="spellEnd"/>
      <w:r w:rsidRPr="009D365B">
        <w:t xml:space="preserve"> RTT after sending HARQ feedback of the contention resolution MAC CE.</w:t>
      </w:r>
      <w:bookmarkEnd w:id="19"/>
      <w:bookmarkEnd w:id="20"/>
      <w:bookmarkEnd w:id="21"/>
      <w:bookmarkEnd w:id="22"/>
      <w:bookmarkEnd w:id="23"/>
      <w:bookmarkEnd w:id="24"/>
      <w:bookmarkEnd w:id="25"/>
    </w:p>
    <w:p w14:paraId="2E024202" w14:textId="077EA444" w:rsidR="00D81ABD" w:rsidRPr="00CA3E1D" w:rsidRDefault="00D81ABD" w:rsidP="00453B12">
      <w:pPr>
        <w:rPr>
          <w:b/>
          <w:bCs/>
          <w:u w:val="single"/>
        </w:rPr>
      </w:pPr>
      <w:r w:rsidRPr="00CA3E1D">
        <w:rPr>
          <w:b/>
          <w:bCs/>
          <w:u w:val="single"/>
        </w:rPr>
        <w:t>Frequent handover disruption in network verified UE location</w:t>
      </w:r>
      <w:r w:rsidR="00CA3E1D">
        <w:rPr>
          <w:b/>
          <w:bCs/>
          <w:u w:val="single"/>
        </w:rPr>
        <w:t xml:space="preserve"> </w:t>
      </w:r>
      <w:proofErr w:type="gramStart"/>
      <w:r w:rsidR="00CA3E1D">
        <w:rPr>
          <w:b/>
          <w:bCs/>
          <w:u w:val="single"/>
        </w:rPr>
        <w:t>solution</w:t>
      </w:r>
      <w:proofErr w:type="gramEnd"/>
    </w:p>
    <w:p w14:paraId="38F65794" w14:textId="78CA145F" w:rsidR="009827C9" w:rsidRDefault="007C637A" w:rsidP="00453B12">
      <w:r>
        <w:t>For transparent payload,</w:t>
      </w:r>
      <w:r w:rsidR="00BD51A1">
        <w:t xml:space="preserve"> RAN2 already discussed that the frequen</w:t>
      </w:r>
      <w:r w:rsidR="00112B4E">
        <w:t>t</w:t>
      </w:r>
      <w:r w:rsidR="00BD51A1">
        <w:t xml:space="preserve"> satellite switch especially in moving cell scenarios can lead to longer delay for network verification</w:t>
      </w:r>
      <w:r w:rsidR="00041035">
        <w:t xml:space="preserve"> due to frequency cell change. In regenerative payload architecture when full </w:t>
      </w:r>
      <w:proofErr w:type="spellStart"/>
      <w:r w:rsidR="00041035">
        <w:t>gNB</w:t>
      </w:r>
      <w:proofErr w:type="spellEnd"/>
      <w:r w:rsidR="00041035">
        <w:t xml:space="preserve"> is on board, this problem may be worse as now the old </w:t>
      </w:r>
      <w:proofErr w:type="spellStart"/>
      <w:r w:rsidR="00041035">
        <w:t>gNB</w:t>
      </w:r>
      <w:proofErr w:type="spellEnd"/>
      <w:r w:rsidR="00041035">
        <w:t xml:space="preserve"> will be</w:t>
      </w:r>
      <w:r w:rsidR="004F3565">
        <w:t xml:space="preserve"> out of reach</w:t>
      </w:r>
      <w:r w:rsidR="0078653E">
        <w:t>.</w:t>
      </w:r>
      <w:r w:rsidR="00D764E2">
        <w:t xml:space="preserve"> One simple approach</w:t>
      </w:r>
      <w:r w:rsidR="00B630B1">
        <w:t xml:space="preserve"> is to look at the </w:t>
      </w:r>
      <w:proofErr w:type="spellStart"/>
      <w:r w:rsidR="00B630B1">
        <w:t>signaling</w:t>
      </w:r>
      <w:proofErr w:type="spellEnd"/>
      <w:r w:rsidR="00B630B1">
        <w:t xml:space="preserve"> how</w:t>
      </w:r>
      <w:r w:rsidR="006A32A3">
        <w:t xml:space="preserve"> </w:t>
      </w:r>
      <w:r w:rsidR="00B630B1">
        <w:t>the TRP</w:t>
      </w:r>
      <w:r w:rsidR="006A32A3">
        <w:t>/</w:t>
      </w:r>
      <w:proofErr w:type="spellStart"/>
      <w:r w:rsidR="006A32A3">
        <w:t>gNB</w:t>
      </w:r>
      <w:proofErr w:type="spellEnd"/>
      <w:r w:rsidR="006A32A3">
        <w:t xml:space="preserve"> update can be completed</w:t>
      </w:r>
      <w:r w:rsidR="009440A8">
        <w:t xml:space="preserve"> without delay</w:t>
      </w:r>
      <w:r w:rsidR="006A32A3">
        <w:t xml:space="preserve"> at LMF</w:t>
      </w:r>
      <w:r w:rsidR="009440A8">
        <w:t>.</w:t>
      </w:r>
    </w:p>
    <w:p w14:paraId="29F9CFEE" w14:textId="2EA5BC62" w:rsidR="00B64AD9" w:rsidRDefault="00E26EDD" w:rsidP="00B64AD9">
      <w:pPr>
        <w:pStyle w:val="Proposal"/>
        <w:numPr>
          <w:ilvl w:val="0"/>
          <w:numId w:val="7"/>
        </w:numPr>
        <w:overflowPunct w:val="0"/>
        <w:autoSpaceDE w:val="0"/>
        <w:autoSpaceDN w:val="0"/>
        <w:adjustRightInd w:val="0"/>
        <w:spacing w:before="240" w:after="240" w:line="360" w:lineRule="auto"/>
        <w:contextualSpacing/>
        <w:textAlignment w:val="baseline"/>
      </w:pPr>
      <w:bookmarkStart w:id="26" w:name="_Toc166059881"/>
      <w:bookmarkStart w:id="27" w:name="_Toc166163796"/>
      <w:bookmarkStart w:id="28" w:name="_Toc166164055"/>
      <w:bookmarkStart w:id="29" w:name="_Toc166164159"/>
      <w:bookmarkStart w:id="30" w:name="_Toc166171727"/>
      <w:bookmarkStart w:id="31" w:name="_Toc166171836"/>
      <w:bookmarkStart w:id="32" w:name="_Toc166171840"/>
      <w:r>
        <w:t>RAN2 stu</w:t>
      </w:r>
      <w:r w:rsidR="00737C0C">
        <w:t>dy if f</w:t>
      </w:r>
      <w:r w:rsidR="00B64AD9" w:rsidRPr="00B64AD9">
        <w:t xml:space="preserve">requent </w:t>
      </w:r>
      <w:proofErr w:type="spellStart"/>
      <w:r w:rsidR="00B64AD9" w:rsidRPr="00B64AD9">
        <w:t>gNB</w:t>
      </w:r>
      <w:proofErr w:type="spellEnd"/>
      <w:r w:rsidR="00B64AD9" w:rsidRPr="00B64AD9">
        <w:t xml:space="preserve"> switch </w:t>
      </w:r>
      <w:r w:rsidR="00737C0C">
        <w:t xml:space="preserve">is an </w:t>
      </w:r>
      <w:r w:rsidR="00B64AD9" w:rsidRPr="00B64AD9">
        <w:t>issue for network verified UE location.</w:t>
      </w:r>
      <w:bookmarkEnd w:id="26"/>
      <w:bookmarkEnd w:id="27"/>
      <w:bookmarkEnd w:id="28"/>
      <w:bookmarkEnd w:id="29"/>
      <w:bookmarkEnd w:id="30"/>
      <w:bookmarkEnd w:id="31"/>
      <w:bookmarkEnd w:id="32"/>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6C571F6F" w:rsidR="00453B12" w:rsidRDefault="00453B12" w:rsidP="00453B12">
      <w:r>
        <w:t xml:space="preserve">Following </w:t>
      </w:r>
      <w:r w:rsidR="00FB7678">
        <w:t xml:space="preserve">observations and </w:t>
      </w:r>
      <w:r>
        <w:t>proposals are made.</w:t>
      </w:r>
    </w:p>
    <w:p w14:paraId="71579F15" w14:textId="77777777" w:rsidR="00737C0C" w:rsidRDefault="00A81919">
      <w:pPr>
        <w:pStyle w:val="TOC1"/>
        <w:tabs>
          <w:tab w:val="left" w:pos="1540"/>
        </w:tabs>
        <w:rPr>
          <w:rFonts w:asciiTheme="minorHAnsi" w:eastAsiaTheme="minorEastAsia" w:hAnsiTheme="minorHAnsi" w:cstheme="minorBidi"/>
          <w:kern w:val="2"/>
          <w:szCs w:val="22"/>
          <w:lang w:val="en-US"/>
          <w14:ligatures w14:val="standardContextual"/>
        </w:rPr>
      </w:pPr>
      <w:r>
        <w:lastRenderedPageBreak/>
        <w:fldChar w:fldCharType="begin"/>
      </w:r>
      <w:r>
        <w:instrText xml:space="preserve"> TOC \n \t "Proposal,1,Observation,1" </w:instrText>
      </w:r>
      <w:r>
        <w:fldChar w:fldCharType="separate"/>
      </w:r>
      <w:r w:rsidR="00737C0C" w:rsidRPr="00CC4AFF">
        <w:rPr>
          <w:color w:val="000000"/>
        </w:rPr>
        <w:t>Observation 1.</w:t>
      </w:r>
      <w:r w:rsidR="00737C0C">
        <w:rPr>
          <w:rFonts w:asciiTheme="minorHAnsi" w:eastAsiaTheme="minorEastAsia" w:hAnsiTheme="minorHAnsi" w:cstheme="minorBidi"/>
          <w:kern w:val="2"/>
          <w:szCs w:val="22"/>
          <w:lang w:val="en-US"/>
          <w14:ligatures w14:val="standardContextual"/>
        </w:rPr>
        <w:tab/>
      </w:r>
      <w:r w:rsidR="00737C0C">
        <w:t>The satellite switch with resync feature may be supported in regenerative payload architecture by network implementation of mirror satellite at t-Service.</w:t>
      </w:r>
    </w:p>
    <w:p w14:paraId="497EE3E3" w14:textId="77777777" w:rsidR="00737C0C" w:rsidRDefault="00737C0C">
      <w:pPr>
        <w:pStyle w:val="TOC1"/>
        <w:tabs>
          <w:tab w:val="left" w:pos="1320"/>
        </w:tabs>
        <w:rPr>
          <w:rFonts w:asciiTheme="minorHAnsi" w:eastAsiaTheme="minorEastAsia" w:hAnsiTheme="minorHAnsi" w:cstheme="minorBidi"/>
          <w:kern w:val="2"/>
          <w:szCs w:val="22"/>
          <w:lang w:val="en-US"/>
          <w14:ligatures w14:val="standardContextual"/>
        </w:rPr>
      </w:pPr>
      <w:r>
        <w:t>Proposal 1</w:t>
      </w:r>
      <w:r>
        <w:rPr>
          <w:rFonts w:asciiTheme="minorHAnsi" w:eastAsiaTheme="minorEastAsia" w:hAnsiTheme="minorHAnsi" w:cstheme="minorBidi"/>
          <w:kern w:val="2"/>
          <w:szCs w:val="22"/>
          <w:lang w:val="en-US"/>
          <w14:ligatures w14:val="standardContextual"/>
        </w:rPr>
        <w:tab/>
      </w:r>
      <w:r>
        <w:t>From RAN2 perspective, whether to indicate the support of satellite switch with resync for regenerative payload is left to network implementation. The only RAN2 specification impact is to clarify the +ve gap of satellite switch i.e., t-ServiceStart can occur after t-Service.</w:t>
      </w:r>
    </w:p>
    <w:p w14:paraId="23F94DAA" w14:textId="77777777" w:rsidR="00737C0C" w:rsidRDefault="00737C0C">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For UE power saving when using RA SDT in regenerative payload, the PDCCH monitoring for further RRC message is delayed by UE-gNB RTT after sending HARQ feedback of the contention resolution MAC CE.</w:t>
      </w:r>
    </w:p>
    <w:p w14:paraId="2E253033" w14:textId="77777777" w:rsidR="00737C0C" w:rsidRDefault="00737C0C">
      <w:pPr>
        <w:pStyle w:val="TOC1"/>
        <w:tabs>
          <w:tab w:val="left" w:pos="1320"/>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RAN2 study if frequent gNB switch is an issue for network verified UE location.</w:t>
      </w:r>
    </w:p>
    <w:p w14:paraId="5A1FAD7F" w14:textId="63B6EC44" w:rsidR="00453B12" w:rsidRPr="002531E6" w:rsidRDefault="00A81919" w:rsidP="002531E6">
      <w:pPr>
        <w:pStyle w:val="Heading1"/>
        <w:numPr>
          <w:ilvl w:val="0"/>
          <w:numId w:val="6"/>
        </w:numPr>
        <w:pBdr>
          <w:top w:val="single" w:sz="12" w:space="2" w:color="auto"/>
        </w:pBdr>
        <w:tabs>
          <w:tab w:val="num" w:pos="720"/>
        </w:tabs>
        <w:ind w:left="720" w:hanging="720"/>
      </w:pPr>
      <w:r>
        <w:rPr>
          <w:noProof/>
          <w:sz w:val="22"/>
        </w:rPr>
        <w:fldChar w:fldCharType="end"/>
      </w:r>
      <w:r w:rsidR="002531E6" w:rsidRPr="002531E6">
        <w:t>Reference</w:t>
      </w:r>
    </w:p>
    <w:p w14:paraId="572A2F30" w14:textId="4D5D6F7D" w:rsidR="002531E6" w:rsidRDefault="002531E6" w:rsidP="00453B12">
      <w:r>
        <w:t xml:space="preserve">[1] </w:t>
      </w:r>
      <w:r w:rsidR="0039578C" w:rsidRPr="0039578C">
        <w:t>RP-240775</w:t>
      </w:r>
      <w:r w:rsidR="003809E1">
        <w:t>, “</w:t>
      </w:r>
      <w:r w:rsidR="008C7584" w:rsidRPr="008C7584">
        <w:t>Revised WID: Non-Terrestrial Networks (NTN) for NR Phase 3</w:t>
      </w:r>
      <w:r w:rsidR="00441EEB">
        <w:t xml:space="preserve">”, </w:t>
      </w:r>
      <w:r w:rsidR="0073386A" w:rsidRPr="0073386A">
        <w:t>March 18-22, 2024</w:t>
      </w:r>
      <w:r w:rsidR="00441EEB">
        <w:t>.</w:t>
      </w:r>
    </w:p>
    <w:sectPr w:rsidR="002531E6" w:rsidSect="00356D03">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D729" w14:textId="77777777" w:rsidR="00356D03" w:rsidRDefault="00356D03">
      <w:pPr>
        <w:spacing w:after="0"/>
      </w:pPr>
      <w:r>
        <w:separator/>
      </w:r>
    </w:p>
  </w:endnote>
  <w:endnote w:type="continuationSeparator" w:id="0">
    <w:p w14:paraId="1243A514" w14:textId="77777777" w:rsidR="00356D03" w:rsidRDefault="00356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33F38" w14:textId="77777777" w:rsidR="00356D03" w:rsidRDefault="00356D03">
      <w:pPr>
        <w:spacing w:after="0"/>
      </w:pPr>
      <w:r>
        <w:separator/>
      </w:r>
    </w:p>
  </w:footnote>
  <w:footnote w:type="continuationSeparator" w:id="0">
    <w:p w14:paraId="4428B26E" w14:textId="77777777" w:rsidR="00356D03" w:rsidRDefault="00356D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A389D"/>
    <w:multiLevelType w:val="hybridMultilevel"/>
    <w:tmpl w:val="B052DA4E"/>
    <w:lvl w:ilvl="0" w:tplc="2D12972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18"/>
  </w:num>
  <w:num w:numId="3" w16cid:durableId="848328707">
    <w:abstractNumId w:val="1"/>
  </w:num>
  <w:num w:numId="4" w16cid:durableId="1457137946">
    <w:abstractNumId w:val="10"/>
  </w:num>
  <w:num w:numId="5" w16cid:durableId="1097747988">
    <w:abstractNumId w:val="18"/>
  </w:num>
  <w:num w:numId="6" w16cid:durableId="675621482">
    <w:abstractNumId w:val="7"/>
  </w:num>
  <w:num w:numId="7" w16cid:durableId="1304964842">
    <w:abstractNumId w:val="12"/>
  </w:num>
  <w:num w:numId="8" w16cid:durableId="125047382">
    <w:abstractNumId w:val="8"/>
  </w:num>
  <w:num w:numId="9" w16cid:durableId="269971381">
    <w:abstractNumId w:val="14"/>
  </w:num>
  <w:num w:numId="10" w16cid:durableId="1166480600">
    <w:abstractNumId w:val="5"/>
  </w:num>
  <w:num w:numId="11" w16cid:durableId="1899051820">
    <w:abstractNumId w:val="9"/>
  </w:num>
  <w:num w:numId="12" w16cid:durableId="1750300129">
    <w:abstractNumId w:val="11"/>
  </w:num>
  <w:num w:numId="13" w16cid:durableId="1246263475">
    <w:abstractNumId w:val="10"/>
  </w:num>
  <w:num w:numId="14" w16cid:durableId="1670326438">
    <w:abstractNumId w:val="10"/>
  </w:num>
  <w:num w:numId="15" w16cid:durableId="1185368059">
    <w:abstractNumId w:val="0"/>
  </w:num>
  <w:num w:numId="16" w16cid:durableId="680856319">
    <w:abstractNumId w:val="4"/>
  </w:num>
  <w:num w:numId="17" w16cid:durableId="1320383609">
    <w:abstractNumId w:val="3"/>
  </w:num>
  <w:num w:numId="18" w16cid:durableId="1506020440">
    <w:abstractNumId w:val="10"/>
  </w:num>
  <w:num w:numId="19" w16cid:durableId="1131437444">
    <w:abstractNumId w:val="13"/>
  </w:num>
  <w:num w:numId="20" w16cid:durableId="1554272510">
    <w:abstractNumId w:val="10"/>
  </w:num>
  <w:num w:numId="21" w16cid:durableId="2070877550">
    <w:abstractNumId w:val="15"/>
  </w:num>
  <w:num w:numId="22" w16cid:durableId="1726248054">
    <w:abstractNumId w:val="10"/>
  </w:num>
  <w:num w:numId="23" w16cid:durableId="611282159">
    <w:abstractNumId w:val="17"/>
  </w:num>
  <w:num w:numId="24" w16cid:durableId="1473984226">
    <w:abstractNumId w:val="6"/>
  </w:num>
  <w:num w:numId="25" w16cid:durableId="52776904">
    <w:abstractNumId w:val="10"/>
  </w:num>
  <w:num w:numId="26" w16cid:durableId="194077589">
    <w:abstractNumId w:val="10"/>
  </w:num>
  <w:num w:numId="27" w16cid:durableId="514802948">
    <w:abstractNumId w:val="4"/>
  </w:num>
  <w:num w:numId="28" w16cid:durableId="571046258">
    <w:abstractNumId w:val="4"/>
  </w:num>
  <w:num w:numId="29" w16cid:durableId="375930017">
    <w:abstractNumId w:val="10"/>
  </w:num>
  <w:num w:numId="30" w16cid:durableId="994142498">
    <w:abstractNumId w:val="16"/>
  </w:num>
  <w:num w:numId="31" w16cid:durableId="1923298500">
    <w:abstractNumId w:val="4"/>
    <w:lvlOverride w:ilvl="0">
      <w:startOverride w:val="1"/>
    </w:lvlOverride>
  </w:num>
  <w:num w:numId="32" w16cid:durableId="553540615">
    <w:abstractNumId w:val="10"/>
  </w:num>
  <w:num w:numId="33" w16cid:durableId="559295147">
    <w:abstractNumId w:val="10"/>
  </w:num>
  <w:num w:numId="34" w16cid:durableId="3222426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2101C"/>
    <w:rsid w:val="00024312"/>
    <w:rsid w:val="00030D14"/>
    <w:rsid w:val="00035798"/>
    <w:rsid w:val="00041035"/>
    <w:rsid w:val="000428D8"/>
    <w:rsid w:val="0004348B"/>
    <w:rsid w:val="00061943"/>
    <w:rsid w:val="00076F06"/>
    <w:rsid w:val="00077247"/>
    <w:rsid w:val="000841DA"/>
    <w:rsid w:val="00084BC7"/>
    <w:rsid w:val="000855B8"/>
    <w:rsid w:val="00087A9A"/>
    <w:rsid w:val="000933B6"/>
    <w:rsid w:val="000957D6"/>
    <w:rsid w:val="000B4525"/>
    <w:rsid w:val="000B5286"/>
    <w:rsid w:val="000D3D32"/>
    <w:rsid w:val="000D51CD"/>
    <w:rsid w:val="000D7711"/>
    <w:rsid w:val="00106C94"/>
    <w:rsid w:val="00110DCF"/>
    <w:rsid w:val="00112B4E"/>
    <w:rsid w:val="00121D6B"/>
    <w:rsid w:val="00127178"/>
    <w:rsid w:val="001338B7"/>
    <w:rsid w:val="0013560F"/>
    <w:rsid w:val="00140541"/>
    <w:rsid w:val="00146B2F"/>
    <w:rsid w:val="00153423"/>
    <w:rsid w:val="001547BE"/>
    <w:rsid w:val="0016005C"/>
    <w:rsid w:val="00162617"/>
    <w:rsid w:val="00167EED"/>
    <w:rsid w:val="00192E2D"/>
    <w:rsid w:val="00197843"/>
    <w:rsid w:val="001A0825"/>
    <w:rsid w:val="001A7EF6"/>
    <w:rsid w:val="001C08BE"/>
    <w:rsid w:val="001C0D36"/>
    <w:rsid w:val="001C79A1"/>
    <w:rsid w:val="001F709D"/>
    <w:rsid w:val="00200750"/>
    <w:rsid w:val="002040AD"/>
    <w:rsid w:val="002138E1"/>
    <w:rsid w:val="00214438"/>
    <w:rsid w:val="0023042F"/>
    <w:rsid w:val="00230B91"/>
    <w:rsid w:val="00241E90"/>
    <w:rsid w:val="0025036F"/>
    <w:rsid w:val="002531E6"/>
    <w:rsid w:val="0026765E"/>
    <w:rsid w:val="002737AA"/>
    <w:rsid w:val="00280CE9"/>
    <w:rsid w:val="00283F68"/>
    <w:rsid w:val="002843A9"/>
    <w:rsid w:val="00291859"/>
    <w:rsid w:val="002954D8"/>
    <w:rsid w:val="00297FF8"/>
    <w:rsid w:val="002A0B22"/>
    <w:rsid w:val="002A0BF5"/>
    <w:rsid w:val="002A2341"/>
    <w:rsid w:val="002A538D"/>
    <w:rsid w:val="002A57B4"/>
    <w:rsid w:val="002A7460"/>
    <w:rsid w:val="002B0640"/>
    <w:rsid w:val="002B0BD1"/>
    <w:rsid w:val="002B2832"/>
    <w:rsid w:val="002C08B1"/>
    <w:rsid w:val="002C6B35"/>
    <w:rsid w:val="002D2D59"/>
    <w:rsid w:val="002D4724"/>
    <w:rsid w:val="002D70DA"/>
    <w:rsid w:val="002E1490"/>
    <w:rsid w:val="002E505D"/>
    <w:rsid w:val="002F0BC7"/>
    <w:rsid w:val="002F5D4F"/>
    <w:rsid w:val="002F66DE"/>
    <w:rsid w:val="0030602C"/>
    <w:rsid w:val="00321BD0"/>
    <w:rsid w:val="0033151D"/>
    <w:rsid w:val="00344C4B"/>
    <w:rsid w:val="00346EA7"/>
    <w:rsid w:val="00355001"/>
    <w:rsid w:val="00356604"/>
    <w:rsid w:val="00356D03"/>
    <w:rsid w:val="003631CC"/>
    <w:rsid w:val="003766BD"/>
    <w:rsid w:val="00377A57"/>
    <w:rsid w:val="003809E1"/>
    <w:rsid w:val="003809E3"/>
    <w:rsid w:val="00392739"/>
    <w:rsid w:val="00392C4B"/>
    <w:rsid w:val="0039578C"/>
    <w:rsid w:val="00397D2B"/>
    <w:rsid w:val="003A31DA"/>
    <w:rsid w:val="003A75B4"/>
    <w:rsid w:val="003A7F98"/>
    <w:rsid w:val="003B3BF0"/>
    <w:rsid w:val="003C263F"/>
    <w:rsid w:val="003C32BE"/>
    <w:rsid w:val="003C4A6F"/>
    <w:rsid w:val="003E0075"/>
    <w:rsid w:val="003E595D"/>
    <w:rsid w:val="003F4202"/>
    <w:rsid w:val="003F60FE"/>
    <w:rsid w:val="003F7B7C"/>
    <w:rsid w:val="00410B1E"/>
    <w:rsid w:val="00414659"/>
    <w:rsid w:val="00417E6E"/>
    <w:rsid w:val="00421203"/>
    <w:rsid w:val="0043054C"/>
    <w:rsid w:val="00441EEB"/>
    <w:rsid w:val="00443BA0"/>
    <w:rsid w:val="00446D4D"/>
    <w:rsid w:val="00453B12"/>
    <w:rsid w:val="004601DB"/>
    <w:rsid w:val="00475EE2"/>
    <w:rsid w:val="0048153D"/>
    <w:rsid w:val="004959A9"/>
    <w:rsid w:val="0049738F"/>
    <w:rsid w:val="004A0679"/>
    <w:rsid w:val="004B6A20"/>
    <w:rsid w:val="004C3083"/>
    <w:rsid w:val="004C4F2D"/>
    <w:rsid w:val="004D03B3"/>
    <w:rsid w:val="004D210E"/>
    <w:rsid w:val="004D7FA1"/>
    <w:rsid w:val="004E1CF9"/>
    <w:rsid w:val="004E4061"/>
    <w:rsid w:val="004F1EC7"/>
    <w:rsid w:val="004F2903"/>
    <w:rsid w:val="004F3565"/>
    <w:rsid w:val="004F59D6"/>
    <w:rsid w:val="004F665E"/>
    <w:rsid w:val="00521DD3"/>
    <w:rsid w:val="005473C2"/>
    <w:rsid w:val="0055032C"/>
    <w:rsid w:val="00561AD4"/>
    <w:rsid w:val="0056464A"/>
    <w:rsid w:val="00564DAA"/>
    <w:rsid w:val="00567739"/>
    <w:rsid w:val="00575B3D"/>
    <w:rsid w:val="005900AA"/>
    <w:rsid w:val="005A4488"/>
    <w:rsid w:val="005A6301"/>
    <w:rsid w:val="005A663B"/>
    <w:rsid w:val="005B2476"/>
    <w:rsid w:val="005B683B"/>
    <w:rsid w:val="005C3338"/>
    <w:rsid w:val="005C4EDA"/>
    <w:rsid w:val="005C5690"/>
    <w:rsid w:val="005D4FF7"/>
    <w:rsid w:val="005D7334"/>
    <w:rsid w:val="005E6C46"/>
    <w:rsid w:val="005E7441"/>
    <w:rsid w:val="005F5769"/>
    <w:rsid w:val="005F71C7"/>
    <w:rsid w:val="0060108D"/>
    <w:rsid w:val="0060356D"/>
    <w:rsid w:val="006324A9"/>
    <w:rsid w:val="00635E23"/>
    <w:rsid w:val="00640F25"/>
    <w:rsid w:val="00642B18"/>
    <w:rsid w:val="0065110F"/>
    <w:rsid w:val="006521DD"/>
    <w:rsid w:val="00660099"/>
    <w:rsid w:val="00660942"/>
    <w:rsid w:val="00661AB9"/>
    <w:rsid w:val="006629B4"/>
    <w:rsid w:val="00672025"/>
    <w:rsid w:val="00674E3C"/>
    <w:rsid w:val="00685D63"/>
    <w:rsid w:val="00690258"/>
    <w:rsid w:val="006961FB"/>
    <w:rsid w:val="006A32A3"/>
    <w:rsid w:val="006A4146"/>
    <w:rsid w:val="006C0739"/>
    <w:rsid w:val="006C0A9B"/>
    <w:rsid w:val="006D5A22"/>
    <w:rsid w:val="006D750A"/>
    <w:rsid w:val="006E4B17"/>
    <w:rsid w:val="006E6BAC"/>
    <w:rsid w:val="006F11C1"/>
    <w:rsid w:val="00701D46"/>
    <w:rsid w:val="007064FB"/>
    <w:rsid w:val="00727ECE"/>
    <w:rsid w:val="0073386A"/>
    <w:rsid w:val="00737C0C"/>
    <w:rsid w:val="00745D1A"/>
    <w:rsid w:val="00763CEF"/>
    <w:rsid w:val="007645C4"/>
    <w:rsid w:val="00771DCF"/>
    <w:rsid w:val="0077220C"/>
    <w:rsid w:val="00777CBA"/>
    <w:rsid w:val="00784D94"/>
    <w:rsid w:val="00785D78"/>
    <w:rsid w:val="0078653E"/>
    <w:rsid w:val="007A3A6B"/>
    <w:rsid w:val="007A3F98"/>
    <w:rsid w:val="007A7EFD"/>
    <w:rsid w:val="007B13EA"/>
    <w:rsid w:val="007C104B"/>
    <w:rsid w:val="007C637A"/>
    <w:rsid w:val="007E5545"/>
    <w:rsid w:val="007F6D1C"/>
    <w:rsid w:val="00803048"/>
    <w:rsid w:val="008065A2"/>
    <w:rsid w:val="008135B9"/>
    <w:rsid w:val="0081506E"/>
    <w:rsid w:val="00823DA1"/>
    <w:rsid w:val="00827C38"/>
    <w:rsid w:val="008549D2"/>
    <w:rsid w:val="0086117A"/>
    <w:rsid w:val="00862891"/>
    <w:rsid w:val="00862ABC"/>
    <w:rsid w:val="008667F0"/>
    <w:rsid w:val="008708D5"/>
    <w:rsid w:val="008758EE"/>
    <w:rsid w:val="00876530"/>
    <w:rsid w:val="008776B3"/>
    <w:rsid w:val="00890801"/>
    <w:rsid w:val="008914B7"/>
    <w:rsid w:val="00895DE4"/>
    <w:rsid w:val="008A54D9"/>
    <w:rsid w:val="008B2A7B"/>
    <w:rsid w:val="008B4701"/>
    <w:rsid w:val="008C7584"/>
    <w:rsid w:val="008D4177"/>
    <w:rsid w:val="008D4186"/>
    <w:rsid w:val="008D78D4"/>
    <w:rsid w:val="008D7D8B"/>
    <w:rsid w:val="008F0BC7"/>
    <w:rsid w:val="009010A2"/>
    <w:rsid w:val="00905F05"/>
    <w:rsid w:val="00930583"/>
    <w:rsid w:val="009440A8"/>
    <w:rsid w:val="00951576"/>
    <w:rsid w:val="00951F76"/>
    <w:rsid w:val="00952132"/>
    <w:rsid w:val="009550DF"/>
    <w:rsid w:val="00963F05"/>
    <w:rsid w:val="00967AB5"/>
    <w:rsid w:val="009827C9"/>
    <w:rsid w:val="00987FAB"/>
    <w:rsid w:val="00990975"/>
    <w:rsid w:val="009A10FE"/>
    <w:rsid w:val="009A7941"/>
    <w:rsid w:val="009B0575"/>
    <w:rsid w:val="009B297C"/>
    <w:rsid w:val="009B6889"/>
    <w:rsid w:val="009C33D7"/>
    <w:rsid w:val="009C52E2"/>
    <w:rsid w:val="009D2AE3"/>
    <w:rsid w:val="009D365B"/>
    <w:rsid w:val="009E1DEC"/>
    <w:rsid w:val="009E263F"/>
    <w:rsid w:val="009F1FB1"/>
    <w:rsid w:val="009F385E"/>
    <w:rsid w:val="00A069F4"/>
    <w:rsid w:val="00A10E9E"/>
    <w:rsid w:val="00A12413"/>
    <w:rsid w:val="00A14473"/>
    <w:rsid w:val="00A2227E"/>
    <w:rsid w:val="00A23E6D"/>
    <w:rsid w:val="00A271C8"/>
    <w:rsid w:val="00A32079"/>
    <w:rsid w:val="00A367C4"/>
    <w:rsid w:val="00A40DAF"/>
    <w:rsid w:val="00A42D72"/>
    <w:rsid w:val="00A57561"/>
    <w:rsid w:val="00A614EC"/>
    <w:rsid w:val="00A665AC"/>
    <w:rsid w:val="00A704E1"/>
    <w:rsid w:val="00A7127A"/>
    <w:rsid w:val="00A7483D"/>
    <w:rsid w:val="00A81919"/>
    <w:rsid w:val="00A94765"/>
    <w:rsid w:val="00AA27BF"/>
    <w:rsid w:val="00AA5F72"/>
    <w:rsid w:val="00AB5F35"/>
    <w:rsid w:val="00AC4FDB"/>
    <w:rsid w:val="00AC6A6E"/>
    <w:rsid w:val="00AD5255"/>
    <w:rsid w:val="00AE50B5"/>
    <w:rsid w:val="00AE63DF"/>
    <w:rsid w:val="00B0043A"/>
    <w:rsid w:val="00B07E0C"/>
    <w:rsid w:val="00B124A8"/>
    <w:rsid w:val="00B12935"/>
    <w:rsid w:val="00B1449E"/>
    <w:rsid w:val="00B147AB"/>
    <w:rsid w:val="00B452DB"/>
    <w:rsid w:val="00B52D4F"/>
    <w:rsid w:val="00B53F40"/>
    <w:rsid w:val="00B55AB2"/>
    <w:rsid w:val="00B630B1"/>
    <w:rsid w:val="00B64AD9"/>
    <w:rsid w:val="00B71A25"/>
    <w:rsid w:val="00B71C6D"/>
    <w:rsid w:val="00B81D9C"/>
    <w:rsid w:val="00B85A77"/>
    <w:rsid w:val="00B96C46"/>
    <w:rsid w:val="00B976F4"/>
    <w:rsid w:val="00BB5F33"/>
    <w:rsid w:val="00BC0D83"/>
    <w:rsid w:val="00BC4C81"/>
    <w:rsid w:val="00BD180E"/>
    <w:rsid w:val="00BD1CDB"/>
    <w:rsid w:val="00BD2889"/>
    <w:rsid w:val="00BD51A1"/>
    <w:rsid w:val="00BD6B8D"/>
    <w:rsid w:val="00BE5C8D"/>
    <w:rsid w:val="00BE6AE8"/>
    <w:rsid w:val="00BF70CD"/>
    <w:rsid w:val="00C01766"/>
    <w:rsid w:val="00C077E8"/>
    <w:rsid w:val="00C17BE7"/>
    <w:rsid w:val="00C25E55"/>
    <w:rsid w:val="00C37189"/>
    <w:rsid w:val="00C37BEF"/>
    <w:rsid w:val="00C459B4"/>
    <w:rsid w:val="00C523B8"/>
    <w:rsid w:val="00C55240"/>
    <w:rsid w:val="00C6229A"/>
    <w:rsid w:val="00C64588"/>
    <w:rsid w:val="00C67AD8"/>
    <w:rsid w:val="00C72A15"/>
    <w:rsid w:val="00C740E7"/>
    <w:rsid w:val="00C75EFB"/>
    <w:rsid w:val="00C7659B"/>
    <w:rsid w:val="00CA3E1D"/>
    <w:rsid w:val="00CA4CE9"/>
    <w:rsid w:val="00CB3C4B"/>
    <w:rsid w:val="00CB4D23"/>
    <w:rsid w:val="00CB5D3F"/>
    <w:rsid w:val="00CC79CB"/>
    <w:rsid w:val="00CD54F4"/>
    <w:rsid w:val="00CE2097"/>
    <w:rsid w:val="00CE2985"/>
    <w:rsid w:val="00CE7977"/>
    <w:rsid w:val="00CF0764"/>
    <w:rsid w:val="00D07073"/>
    <w:rsid w:val="00D25EB7"/>
    <w:rsid w:val="00D33903"/>
    <w:rsid w:val="00D4613B"/>
    <w:rsid w:val="00D56A93"/>
    <w:rsid w:val="00D67E70"/>
    <w:rsid w:val="00D764E2"/>
    <w:rsid w:val="00D81ABD"/>
    <w:rsid w:val="00D84449"/>
    <w:rsid w:val="00D94D38"/>
    <w:rsid w:val="00D94F46"/>
    <w:rsid w:val="00DB29E3"/>
    <w:rsid w:val="00DC0A10"/>
    <w:rsid w:val="00DC4C53"/>
    <w:rsid w:val="00DD434C"/>
    <w:rsid w:val="00DD6B41"/>
    <w:rsid w:val="00DE6A6A"/>
    <w:rsid w:val="00DF3A50"/>
    <w:rsid w:val="00DF4C06"/>
    <w:rsid w:val="00DF6B0D"/>
    <w:rsid w:val="00DF7F4A"/>
    <w:rsid w:val="00E003A2"/>
    <w:rsid w:val="00E00F93"/>
    <w:rsid w:val="00E03D39"/>
    <w:rsid w:val="00E24205"/>
    <w:rsid w:val="00E26EDD"/>
    <w:rsid w:val="00E30B0F"/>
    <w:rsid w:val="00E32B5F"/>
    <w:rsid w:val="00E41273"/>
    <w:rsid w:val="00E4647A"/>
    <w:rsid w:val="00E51C4B"/>
    <w:rsid w:val="00E61C7E"/>
    <w:rsid w:val="00E868A4"/>
    <w:rsid w:val="00E932A5"/>
    <w:rsid w:val="00EA0AE4"/>
    <w:rsid w:val="00EB45B9"/>
    <w:rsid w:val="00EB646A"/>
    <w:rsid w:val="00EC0ED8"/>
    <w:rsid w:val="00ED4A97"/>
    <w:rsid w:val="00ED5B67"/>
    <w:rsid w:val="00EE47B1"/>
    <w:rsid w:val="00EE599D"/>
    <w:rsid w:val="00EE6853"/>
    <w:rsid w:val="00F039A2"/>
    <w:rsid w:val="00F05A56"/>
    <w:rsid w:val="00F22354"/>
    <w:rsid w:val="00F22716"/>
    <w:rsid w:val="00F23E84"/>
    <w:rsid w:val="00F41807"/>
    <w:rsid w:val="00F4487C"/>
    <w:rsid w:val="00F472BE"/>
    <w:rsid w:val="00F7407D"/>
    <w:rsid w:val="00F7734E"/>
    <w:rsid w:val="00F8598B"/>
    <w:rsid w:val="00F90A7A"/>
    <w:rsid w:val="00F91771"/>
    <w:rsid w:val="00F9670D"/>
    <w:rsid w:val="00FA2DF2"/>
    <w:rsid w:val="00FA33E0"/>
    <w:rsid w:val="00FA37CB"/>
    <w:rsid w:val="00FB1C0E"/>
    <w:rsid w:val="00FB757E"/>
    <w:rsid w:val="00FB7678"/>
    <w:rsid w:val="00FC5386"/>
    <w:rsid w:val="00FC5DA6"/>
    <w:rsid w:val="00FC6AE7"/>
    <w:rsid w:val="00FE2785"/>
    <w:rsid w:val="00FF2AC5"/>
    <w:rsid w:val="00FF6BD8"/>
    <w:rsid w:val="00FF6FBC"/>
    <w:rsid w:val="1E429C4F"/>
    <w:rsid w:val="242E594F"/>
    <w:rsid w:val="372973B0"/>
    <w:rsid w:val="4BDAEC31"/>
    <w:rsid w:val="5C4C9E96"/>
    <w:rsid w:val="6AF80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808CD1BA-6A74-4D05-A707-D659A155C9AB}">
  <ds:schemaRefs>
    <ds:schemaRef ds:uri="http://www.w3.org/XML/1998/namespace"/>
    <ds:schemaRef ds:uri="http://purl.org/dc/elements/1.1/"/>
    <ds:schemaRef ds:uri="http://purl.org/dc/terms/"/>
    <ds:schemaRef ds:uri="http://purl.org/dc/dcmitype/"/>
    <ds:schemaRef ds:uri="http://schemas.microsoft.com/office/2006/metadata/properties"/>
    <ds:schemaRef ds:uri="http://schemas.microsoft.com/office/infopath/2007/PartnerControls"/>
    <ds:schemaRef ds:uri="a3e265ce-35e5-406a-a577-2d283f2c1c3a"/>
    <ds:schemaRef ds:uri="http://schemas.openxmlformats.org/package/2006/metadata/core-properties"/>
    <ds:schemaRef ds:uri="http://schemas.microsoft.com/office/2006/documentManagement/types"/>
    <ds:schemaRef ds:uri="1c6e7719-fcdf-43d9-93c1-f401bd4c4107"/>
  </ds:schemaRefs>
</ds:datastoreItem>
</file>

<file path=customXml/itemProps4.xml><?xml version="1.0" encoding="utf-8"?>
<ds:datastoreItem xmlns:ds="http://schemas.openxmlformats.org/officeDocument/2006/customXml" ds:itemID="{5B4CC3D2-B443-4837-8F57-625D9F8A4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61</TotalTime>
  <Pages>3</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401</cp:revision>
  <dcterms:created xsi:type="dcterms:W3CDTF">2023-09-25T21:46:00Z</dcterms:created>
  <dcterms:modified xsi:type="dcterms:W3CDTF">2024-05-10T01:30:00Z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